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28" w:rsidRPr="003A258D" w:rsidRDefault="00ED3328" w:rsidP="008521A5">
      <w:pPr>
        <w:ind w:right="141"/>
        <w:jc w:val="center"/>
        <w:rPr>
          <w:sz w:val="28"/>
          <w:szCs w:val="24"/>
        </w:rPr>
      </w:pPr>
    </w:p>
    <w:tbl>
      <w:tblPr>
        <w:tblpPr w:leftFromText="180" w:rightFromText="180" w:vertAnchor="text" w:horzAnchor="margin" w:tblpY="14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2586"/>
        <w:gridCol w:w="4012"/>
      </w:tblGrid>
      <w:tr w:rsidR="003E18CF" w:rsidRPr="003A258D" w:rsidTr="00BB4F74">
        <w:trPr>
          <w:trHeight w:val="1823"/>
        </w:trPr>
        <w:tc>
          <w:tcPr>
            <w:tcW w:w="9747" w:type="dxa"/>
            <w:gridSpan w:val="3"/>
            <w:tcBorders>
              <w:top w:val="nil"/>
              <w:left w:val="nil"/>
              <w:bottom w:val="nil"/>
              <w:right w:val="nil"/>
            </w:tcBorders>
          </w:tcPr>
          <w:p w:rsidR="008D62C6" w:rsidRPr="003A258D" w:rsidRDefault="00D81F2F" w:rsidP="005565A1">
            <w:pPr>
              <w:spacing w:line="276" w:lineRule="auto"/>
              <w:ind w:right="141" w:firstLine="709"/>
              <w:jc w:val="both"/>
              <w:rPr>
                <w:sz w:val="28"/>
                <w:szCs w:val="26"/>
              </w:rPr>
            </w:pPr>
            <w:r w:rsidRPr="003A258D">
              <w:rPr>
                <w:sz w:val="28"/>
                <w:szCs w:val="26"/>
              </w:rPr>
              <w:t xml:space="preserve">Центр психолого-педагогической, медицинской и социальной помощи </w:t>
            </w:r>
            <w:r w:rsidR="00BF2DA9" w:rsidRPr="003A258D">
              <w:rPr>
                <w:sz w:val="28"/>
                <w:szCs w:val="26"/>
              </w:rPr>
              <w:t>Приморского края «Твой Маяк»</w:t>
            </w:r>
            <w:r w:rsidR="00934A62" w:rsidRPr="003A258D">
              <w:rPr>
                <w:sz w:val="28"/>
                <w:szCs w:val="26"/>
              </w:rPr>
              <w:t xml:space="preserve"> </w:t>
            </w:r>
            <w:r w:rsidRPr="003A258D">
              <w:rPr>
                <w:sz w:val="28"/>
                <w:szCs w:val="26"/>
              </w:rPr>
              <w:t xml:space="preserve">(далее </w:t>
            </w:r>
            <w:r w:rsidR="00934A62" w:rsidRPr="003A258D">
              <w:rPr>
                <w:sz w:val="28"/>
                <w:szCs w:val="26"/>
              </w:rPr>
              <w:t xml:space="preserve">– </w:t>
            </w:r>
            <w:r w:rsidRPr="003A258D">
              <w:rPr>
                <w:sz w:val="28"/>
                <w:szCs w:val="26"/>
              </w:rPr>
              <w:t>ЦППМСп ПК «Твой Маяк») ГАУ ДПО «Приморский краевой институт развития образования»</w:t>
            </w:r>
            <w:r w:rsidR="00E60F83" w:rsidRPr="003A258D">
              <w:rPr>
                <w:sz w:val="28"/>
                <w:szCs w:val="26"/>
              </w:rPr>
              <w:t xml:space="preserve"> </w:t>
            </w:r>
            <w:r w:rsidR="004703AB" w:rsidRPr="003A258D">
              <w:rPr>
                <w:sz w:val="28"/>
                <w:szCs w:val="26"/>
              </w:rPr>
              <w:t>информирует о</w:t>
            </w:r>
            <w:r w:rsidR="00E60F83" w:rsidRPr="003A258D">
              <w:rPr>
                <w:sz w:val="28"/>
                <w:szCs w:val="26"/>
              </w:rPr>
              <w:t xml:space="preserve"> проведени</w:t>
            </w:r>
            <w:r w:rsidR="001928AC" w:rsidRPr="003A258D">
              <w:rPr>
                <w:sz w:val="28"/>
                <w:szCs w:val="26"/>
              </w:rPr>
              <w:t>и</w:t>
            </w:r>
            <w:r w:rsidR="008752FE" w:rsidRPr="003A258D">
              <w:rPr>
                <w:sz w:val="28"/>
                <w:szCs w:val="26"/>
              </w:rPr>
              <w:t xml:space="preserve"> </w:t>
            </w:r>
            <w:r w:rsidR="009459B3" w:rsidRPr="003A258D">
              <w:rPr>
                <w:sz w:val="28"/>
                <w:szCs w:val="26"/>
              </w:rPr>
              <w:t>цикла вебинаров в январе 2023</w:t>
            </w:r>
            <w:r w:rsidR="00B86130" w:rsidRPr="003A258D">
              <w:rPr>
                <w:sz w:val="28"/>
                <w:szCs w:val="26"/>
              </w:rPr>
              <w:t xml:space="preserve"> </w:t>
            </w:r>
            <w:proofErr w:type="gramStart"/>
            <w:r w:rsidR="00B86130" w:rsidRPr="003A258D">
              <w:rPr>
                <w:sz w:val="28"/>
                <w:szCs w:val="26"/>
              </w:rPr>
              <w:t>года,</w:t>
            </w:r>
            <w:r w:rsidR="006A5B3D" w:rsidRPr="003A258D">
              <w:t xml:space="preserve">  </w:t>
            </w:r>
            <w:r w:rsidR="00E60F83" w:rsidRPr="003A258D">
              <w:rPr>
                <w:sz w:val="28"/>
                <w:szCs w:val="26"/>
              </w:rPr>
              <w:t xml:space="preserve"> </w:t>
            </w:r>
            <w:proofErr w:type="gramEnd"/>
            <w:r w:rsidR="004D03DD" w:rsidRPr="003A258D">
              <w:rPr>
                <w:sz w:val="28"/>
                <w:szCs w:val="26"/>
              </w:rPr>
              <w:t>для родителей</w:t>
            </w:r>
            <w:r w:rsidR="005565A1">
              <w:rPr>
                <w:sz w:val="28"/>
                <w:szCs w:val="26"/>
              </w:rPr>
              <w:t>.</w:t>
            </w:r>
            <w:r w:rsidR="004D03DD" w:rsidRPr="003A258D">
              <w:rPr>
                <w:sz w:val="28"/>
                <w:szCs w:val="26"/>
              </w:rPr>
              <w:t xml:space="preserve"> </w:t>
            </w:r>
          </w:p>
          <w:p w:rsidR="003A258D" w:rsidRPr="003A258D" w:rsidRDefault="003A258D" w:rsidP="003A258D">
            <w:pPr>
              <w:spacing w:line="276" w:lineRule="auto"/>
              <w:ind w:right="141"/>
              <w:jc w:val="right"/>
              <w:rPr>
                <w:sz w:val="28"/>
                <w:szCs w:val="26"/>
              </w:rPr>
            </w:pPr>
            <w:bookmarkStart w:id="0" w:name="_GoBack"/>
            <w:bookmarkEnd w:id="0"/>
          </w:p>
          <w:tbl>
            <w:tblPr>
              <w:tblStyle w:val="a3"/>
              <w:tblW w:w="9571" w:type="dxa"/>
              <w:tblLayout w:type="fixed"/>
              <w:tblLook w:val="04A0" w:firstRow="1" w:lastRow="0" w:firstColumn="1" w:lastColumn="0" w:noHBand="0" w:noVBand="1"/>
            </w:tblPr>
            <w:tblGrid>
              <w:gridCol w:w="846"/>
              <w:gridCol w:w="1985"/>
              <w:gridCol w:w="2257"/>
              <w:gridCol w:w="4483"/>
            </w:tblGrid>
            <w:tr w:rsidR="009459B3" w:rsidRPr="003A258D" w:rsidTr="009459B3">
              <w:tc>
                <w:tcPr>
                  <w:tcW w:w="846"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Дата</w:t>
                  </w:r>
                </w:p>
              </w:tc>
              <w:tc>
                <w:tcPr>
                  <w:tcW w:w="1985"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Тема, кто проводит</w:t>
                  </w:r>
                </w:p>
              </w:tc>
              <w:tc>
                <w:tcPr>
                  <w:tcW w:w="2257"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Содержание</w:t>
                  </w:r>
                </w:p>
              </w:tc>
              <w:tc>
                <w:tcPr>
                  <w:tcW w:w="4483"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Ссылка</w:t>
                  </w:r>
                </w:p>
              </w:tc>
            </w:tr>
            <w:tr w:rsidR="009459B3" w:rsidRPr="003A258D" w:rsidTr="009459B3">
              <w:tc>
                <w:tcPr>
                  <w:tcW w:w="846"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16.01</w:t>
                  </w:r>
                </w:p>
                <w:p w:rsidR="009459B3" w:rsidRPr="003A258D" w:rsidRDefault="009459B3" w:rsidP="005565A1">
                  <w:pPr>
                    <w:framePr w:hSpace="180" w:wrap="around" w:vAnchor="text" w:hAnchor="margin" w:y="145"/>
                    <w:rPr>
                      <w:rFonts w:eastAsiaTheme="minorHAnsi"/>
                      <w:sz w:val="22"/>
                      <w:szCs w:val="22"/>
                      <w:lang w:eastAsia="en-US"/>
                    </w:rPr>
                  </w:pPr>
                </w:p>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11.30-13.30</w:t>
                  </w:r>
                </w:p>
              </w:tc>
              <w:tc>
                <w:tcPr>
                  <w:tcW w:w="1985" w:type="dxa"/>
                </w:tcPr>
                <w:p w:rsidR="009459B3" w:rsidRPr="003A258D" w:rsidRDefault="009459B3" w:rsidP="005565A1">
                  <w:pPr>
                    <w:framePr w:hSpace="180" w:wrap="around" w:vAnchor="text" w:hAnchor="margin" w:y="145"/>
                    <w:rPr>
                      <w:rFonts w:eastAsiaTheme="minorHAnsi"/>
                      <w:b/>
                      <w:sz w:val="22"/>
                      <w:szCs w:val="22"/>
                      <w:lang w:eastAsia="en-US"/>
                    </w:rPr>
                  </w:pPr>
                  <w:r w:rsidRPr="003A258D">
                    <w:rPr>
                      <w:rFonts w:eastAsiaTheme="minorHAnsi"/>
                      <w:b/>
                      <w:sz w:val="22"/>
                      <w:szCs w:val="22"/>
                      <w:lang w:eastAsia="en-US"/>
                    </w:rPr>
                    <w:t xml:space="preserve">Ушкань Л.В. </w:t>
                  </w:r>
                </w:p>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«Особый одаренный ребенок в семье. Значение родительской поддержки» в рамках реализации Программы  «Семейная одаренность»</w:t>
                  </w:r>
                </w:p>
              </w:tc>
              <w:tc>
                <w:tcPr>
                  <w:tcW w:w="2257"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 xml:space="preserve">Общеизвестно, что дети очень чувствительны к ожиданиям окружающих, их одобрениям и порицаниям.  Поддержка взрослых, и прежде всего родителей, ведет к закреплению у ребенка тех или иных форм поведения и отвержению других, не одобряемых ими. Одаренный ребенок особенно чутко воспринимает это, поэтому реакция его родителей на продвижение будет определять, развиваться его способностям или нет, станет он двигаться вперед или попытается "спрятать" свою неординарность, стать "как все". </w:t>
                  </w:r>
                </w:p>
              </w:tc>
              <w:tc>
                <w:tcPr>
                  <w:tcW w:w="4483"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https://events.webinar.ru/18885215/1105225549</w:t>
                  </w:r>
                </w:p>
              </w:tc>
            </w:tr>
            <w:tr w:rsidR="009459B3" w:rsidRPr="003A258D" w:rsidTr="009459B3">
              <w:tc>
                <w:tcPr>
                  <w:tcW w:w="846"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23.01</w:t>
                  </w:r>
                </w:p>
                <w:p w:rsidR="009459B3" w:rsidRPr="003A258D" w:rsidRDefault="009459B3" w:rsidP="005565A1">
                  <w:pPr>
                    <w:framePr w:hSpace="180" w:wrap="around" w:vAnchor="text" w:hAnchor="margin" w:y="145"/>
                    <w:rPr>
                      <w:rFonts w:eastAsiaTheme="minorHAnsi"/>
                      <w:sz w:val="22"/>
                      <w:szCs w:val="22"/>
                      <w:lang w:eastAsia="en-US"/>
                    </w:rPr>
                  </w:pPr>
                </w:p>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11.30-13.30</w:t>
                  </w:r>
                </w:p>
              </w:tc>
              <w:tc>
                <w:tcPr>
                  <w:tcW w:w="1985" w:type="dxa"/>
                </w:tcPr>
                <w:p w:rsidR="009459B3" w:rsidRPr="003A258D" w:rsidRDefault="009459B3" w:rsidP="005565A1">
                  <w:pPr>
                    <w:framePr w:hSpace="180" w:wrap="around" w:vAnchor="text" w:hAnchor="margin" w:y="145"/>
                    <w:rPr>
                      <w:rFonts w:eastAsiaTheme="minorHAnsi"/>
                      <w:b/>
                      <w:sz w:val="22"/>
                      <w:szCs w:val="22"/>
                      <w:lang w:eastAsia="en-US"/>
                    </w:rPr>
                  </w:pPr>
                  <w:r w:rsidRPr="003A258D">
                    <w:rPr>
                      <w:rFonts w:eastAsiaTheme="minorHAnsi"/>
                      <w:b/>
                      <w:sz w:val="22"/>
                      <w:szCs w:val="22"/>
                      <w:lang w:eastAsia="en-US"/>
                    </w:rPr>
                    <w:t>Лосова О.В.</w:t>
                  </w:r>
                </w:p>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 xml:space="preserve"> «Портрет современного подростка. Его потребности, трудности.»</w:t>
                  </w:r>
                  <w:r w:rsidR="00751F6B" w:rsidRPr="003A258D">
                    <w:rPr>
                      <w:rFonts w:eastAsiaTheme="minorHAnsi"/>
                      <w:sz w:val="22"/>
                      <w:szCs w:val="22"/>
                      <w:lang w:eastAsia="en-US"/>
                    </w:rPr>
                    <w:t xml:space="preserve"> В рамках реализации Региональной Программы «В фокусе-Детство»</w:t>
                  </w:r>
                </w:p>
              </w:tc>
              <w:tc>
                <w:tcPr>
                  <w:tcW w:w="2257"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Кто он, современный подросток? В чем он испытывает трудности и почему нам бывает сложно его понять, как мы можем ему помочь?</w:t>
                  </w:r>
                </w:p>
              </w:tc>
              <w:tc>
                <w:tcPr>
                  <w:tcW w:w="4483"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https://events.webinar.ru/18885215/983302048</w:t>
                  </w:r>
                </w:p>
              </w:tc>
            </w:tr>
            <w:tr w:rsidR="009459B3" w:rsidRPr="003A258D" w:rsidTr="009459B3">
              <w:tc>
                <w:tcPr>
                  <w:tcW w:w="846"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30.01</w:t>
                  </w:r>
                </w:p>
                <w:p w:rsidR="009459B3" w:rsidRPr="003A258D" w:rsidRDefault="009459B3" w:rsidP="005565A1">
                  <w:pPr>
                    <w:framePr w:hSpace="180" w:wrap="around" w:vAnchor="text" w:hAnchor="margin" w:y="145"/>
                    <w:rPr>
                      <w:rFonts w:eastAsiaTheme="minorHAnsi"/>
                      <w:sz w:val="22"/>
                      <w:szCs w:val="22"/>
                      <w:lang w:eastAsia="en-US"/>
                    </w:rPr>
                  </w:pPr>
                </w:p>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11.30-13.30</w:t>
                  </w:r>
                </w:p>
              </w:tc>
              <w:tc>
                <w:tcPr>
                  <w:tcW w:w="1985" w:type="dxa"/>
                </w:tcPr>
                <w:p w:rsidR="009459B3" w:rsidRPr="003A258D" w:rsidRDefault="009459B3" w:rsidP="005565A1">
                  <w:pPr>
                    <w:framePr w:hSpace="180" w:wrap="around" w:vAnchor="text" w:hAnchor="margin" w:y="145"/>
                    <w:rPr>
                      <w:rFonts w:eastAsiaTheme="minorHAnsi"/>
                      <w:b/>
                      <w:sz w:val="22"/>
                      <w:szCs w:val="22"/>
                      <w:lang w:eastAsia="en-US"/>
                    </w:rPr>
                  </w:pPr>
                  <w:r w:rsidRPr="003A258D">
                    <w:rPr>
                      <w:rFonts w:eastAsiaTheme="minorHAnsi"/>
                      <w:b/>
                      <w:sz w:val="22"/>
                      <w:szCs w:val="22"/>
                      <w:lang w:eastAsia="en-US"/>
                    </w:rPr>
                    <w:t>Зубарева Е.В., Ярашева Е.Н.</w:t>
                  </w:r>
                </w:p>
                <w:p w:rsidR="009459B3" w:rsidRPr="003A258D" w:rsidRDefault="009459B3" w:rsidP="005565A1">
                  <w:pPr>
                    <w:framePr w:hSpace="180" w:wrap="around" w:vAnchor="text" w:hAnchor="margin" w:y="145"/>
                    <w:rPr>
                      <w:rFonts w:eastAsiaTheme="minorHAnsi"/>
                      <w:b/>
                      <w:sz w:val="22"/>
                      <w:szCs w:val="22"/>
                      <w:lang w:eastAsia="en-US"/>
                    </w:rPr>
                  </w:pPr>
                  <w:r w:rsidRPr="003A258D">
                    <w:rPr>
                      <w:rFonts w:eastAsiaTheme="minorHAnsi"/>
                      <w:b/>
                      <w:sz w:val="22"/>
                      <w:szCs w:val="22"/>
                      <w:lang w:eastAsia="en-US"/>
                    </w:rPr>
                    <w:t>Ушкань Л.В.</w:t>
                  </w:r>
                </w:p>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 xml:space="preserve">"Принципы и направления деятельности педагогических работников, обеспечивающих </w:t>
                  </w:r>
                  <w:r w:rsidRPr="003A258D">
                    <w:rPr>
                      <w:rFonts w:eastAsiaTheme="minorHAnsi"/>
                      <w:sz w:val="22"/>
                      <w:szCs w:val="22"/>
                      <w:lang w:eastAsia="en-US"/>
                    </w:rPr>
                    <w:lastRenderedPageBreak/>
                    <w:t>процесс социализации и психологической адаптации несовершеннолетних иностранных граждан".</w:t>
                  </w:r>
                  <w:r w:rsidR="00751F6B" w:rsidRPr="003A258D">
                    <w:rPr>
                      <w:rFonts w:eastAsiaTheme="minorHAnsi"/>
                      <w:sz w:val="22"/>
                      <w:szCs w:val="22"/>
                      <w:lang w:eastAsia="en-US"/>
                    </w:rPr>
                    <w:t xml:space="preserve"> В рамках реализации  комплекса мер по социализации и психологической адаптации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образования, среднего профессионального образования, высшего образования, на период до 2025 года</w:t>
                  </w:r>
                </w:p>
              </w:tc>
              <w:tc>
                <w:tcPr>
                  <w:tcW w:w="2257"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lastRenderedPageBreak/>
                    <w:t>Специфика обучения и социально-культурной адаптации детей иностранных граждан в общеобразовательных организациях</w:t>
                  </w:r>
                </w:p>
              </w:tc>
              <w:tc>
                <w:tcPr>
                  <w:tcW w:w="4483" w:type="dxa"/>
                </w:tcPr>
                <w:p w:rsidR="009459B3" w:rsidRPr="003A258D" w:rsidRDefault="009459B3" w:rsidP="005565A1">
                  <w:pPr>
                    <w:framePr w:hSpace="180" w:wrap="around" w:vAnchor="text" w:hAnchor="margin" w:y="145"/>
                    <w:rPr>
                      <w:rFonts w:eastAsiaTheme="minorHAnsi"/>
                      <w:sz w:val="22"/>
                      <w:szCs w:val="22"/>
                      <w:lang w:eastAsia="en-US"/>
                    </w:rPr>
                  </w:pPr>
                  <w:r w:rsidRPr="003A258D">
                    <w:rPr>
                      <w:rFonts w:eastAsiaTheme="minorHAnsi"/>
                      <w:sz w:val="22"/>
                      <w:szCs w:val="22"/>
                      <w:lang w:eastAsia="en-US"/>
                    </w:rPr>
                    <w:t>https://events.webinar.ru/18885215/1245878414</w:t>
                  </w:r>
                </w:p>
              </w:tc>
            </w:tr>
          </w:tbl>
          <w:p w:rsidR="003E18CF" w:rsidRPr="003A258D" w:rsidRDefault="003E18CF" w:rsidP="00B86130">
            <w:pPr>
              <w:spacing w:line="269" w:lineRule="auto"/>
              <w:ind w:right="141" w:firstLine="709"/>
              <w:jc w:val="both"/>
              <w:rPr>
                <w:sz w:val="24"/>
                <w:szCs w:val="24"/>
              </w:rPr>
            </w:pPr>
          </w:p>
        </w:tc>
      </w:tr>
      <w:tr w:rsidR="003E18CF" w:rsidRPr="003A258D" w:rsidTr="00BB4F74">
        <w:trPr>
          <w:gridAfter w:val="1"/>
          <w:wAfter w:w="4012" w:type="dxa"/>
        </w:trPr>
        <w:tc>
          <w:tcPr>
            <w:tcW w:w="3149" w:type="dxa"/>
            <w:tcBorders>
              <w:top w:val="nil"/>
              <w:left w:val="nil"/>
              <w:bottom w:val="nil"/>
              <w:right w:val="nil"/>
            </w:tcBorders>
            <w:hideMark/>
          </w:tcPr>
          <w:p w:rsidR="003E18CF" w:rsidRPr="003A258D" w:rsidRDefault="003E18CF" w:rsidP="00641081">
            <w:pPr>
              <w:spacing w:line="360" w:lineRule="auto"/>
              <w:jc w:val="center"/>
              <w:rPr>
                <w:sz w:val="24"/>
                <w:szCs w:val="24"/>
              </w:rPr>
            </w:pPr>
          </w:p>
        </w:tc>
        <w:tc>
          <w:tcPr>
            <w:tcW w:w="2586" w:type="dxa"/>
            <w:tcBorders>
              <w:top w:val="nil"/>
              <w:left w:val="nil"/>
              <w:bottom w:val="nil"/>
              <w:right w:val="nil"/>
            </w:tcBorders>
            <w:hideMark/>
          </w:tcPr>
          <w:p w:rsidR="003E18CF" w:rsidRPr="003A258D" w:rsidRDefault="003E18CF" w:rsidP="00641081">
            <w:pPr>
              <w:spacing w:line="360" w:lineRule="auto"/>
              <w:jc w:val="right"/>
              <w:rPr>
                <w:sz w:val="24"/>
                <w:szCs w:val="24"/>
              </w:rPr>
            </w:pPr>
          </w:p>
        </w:tc>
      </w:tr>
    </w:tbl>
    <w:p w:rsidR="008521A5" w:rsidRPr="003A258D" w:rsidRDefault="008521A5" w:rsidP="009459B3">
      <w:pPr>
        <w:tabs>
          <w:tab w:val="left" w:pos="142"/>
        </w:tabs>
        <w:rPr>
          <w:sz w:val="24"/>
          <w:szCs w:val="24"/>
        </w:rPr>
      </w:pPr>
    </w:p>
    <w:p w:rsidR="008521A5" w:rsidRPr="003A258D" w:rsidRDefault="008521A5">
      <w:pPr>
        <w:rPr>
          <w:sz w:val="24"/>
          <w:szCs w:val="24"/>
        </w:rPr>
      </w:pPr>
    </w:p>
    <w:p w:rsidR="008521A5" w:rsidRPr="003A258D" w:rsidRDefault="008521A5">
      <w:pPr>
        <w:rPr>
          <w:sz w:val="24"/>
          <w:szCs w:val="24"/>
        </w:rPr>
      </w:pPr>
    </w:p>
    <w:sectPr w:rsidR="008521A5" w:rsidRPr="003A258D" w:rsidSect="008521A5">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16413"/>
    <w:multiLevelType w:val="hybridMultilevel"/>
    <w:tmpl w:val="9FC004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80"/>
    <w:rsid w:val="00012F12"/>
    <w:rsid w:val="00022136"/>
    <w:rsid w:val="00033F52"/>
    <w:rsid w:val="00035A2C"/>
    <w:rsid w:val="00035FBE"/>
    <w:rsid w:val="00040346"/>
    <w:rsid w:val="000571AB"/>
    <w:rsid w:val="00074994"/>
    <w:rsid w:val="0007551B"/>
    <w:rsid w:val="000A440C"/>
    <w:rsid w:val="00127199"/>
    <w:rsid w:val="00127240"/>
    <w:rsid w:val="001928AC"/>
    <w:rsid w:val="001A3DD9"/>
    <w:rsid w:val="001D4C52"/>
    <w:rsid w:val="001E35A1"/>
    <w:rsid w:val="001E3D65"/>
    <w:rsid w:val="001E5E45"/>
    <w:rsid w:val="00213D00"/>
    <w:rsid w:val="00290957"/>
    <w:rsid w:val="002C1734"/>
    <w:rsid w:val="002E3E16"/>
    <w:rsid w:val="00395D7C"/>
    <w:rsid w:val="003A258D"/>
    <w:rsid w:val="003B34F1"/>
    <w:rsid w:val="003C1FC1"/>
    <w:rsid w:val="003E18CF"/>
    <w:rsid w:val="003E5164"/>
    <w:rsid w:val="003F5F3E"/>
    <w:rsid w:val="004134D7"/>
    <w:rsid w:val="00436434"/>
    <w:rsid w:val="0046663C"/>
    <w:rsid w:val="004703AB"/>
    <w:rsid w:val="00472780"/>
    <w:rsid w:val="004850C6"/>
    <w:rsid w:val="004D03DD"/>
    <w:rsid w:val="00501EBC"/>
    <w:rsid w:val="00502A8E"/>
    <w:rsid w:val="005141AE"/>
    <w:rsid w:val="005153E5"/>
    <w:rsid w:val="005565A1"/>
    <w:rsid w:val="00557132"/>
    <w:rsid w:val="00581648"/>
    <w:rsid w:val="005B7133"/>
    <w:rsid w:val="00603F2B"/>
    <w:rsid w:val="0063233E"/>
    <w:rsid w:val="00634A50"/>
    <w:rsid w:val="00634F80"/>
    <w:rsid w:val="00641081"/>
    <w:rsid w:val="00661E48"/>
    <w:rsid w:val="006768D6"/>
    <w:rsid w:val="00677BC8"/>
    <w:rsid w:val="00684F56"/>
    <w:rsid w:val="00697805"/>
    <w:rsid w:val="006A5B3D"/>
    <w:rsid w:val="006A62DC"/>
    <w:rsid w:val="006C1640"/>
    <w:rsid w:val="006D7E15"/>
    <w:rsid w:val="0071305C"/>
    <w:rsid w:val="00720B35"/>
    <w:rsid w:val="00725226"/>
    <w:rsid w:val="00726466"/>
    <w:rsid w:val="00730FD3"/>
    <w:rsid w:val="0073415D"/>
    <w:rsid w:val="00751F6B"/>
    <w:rsid w:val="0075761C"/>
    <w:rsid w:val="00772723"/>
    <w:rsid w:val="007A3D70"/>
    <w:rsid w:val="007D51D0"/>
    <w:rsid w:val="00824397"/>
    <w:rsid w:val="008521A5"/>
    <w:rsid w:val="008564DE"/>
    <w:rsid w:val="0086054E"/>
    <w:rsid w:val="008752FE"/>
    <w:rsid w:val="00875728"/>
    <w:rsid w:val="008A1F51"/>
    <w:rsid w:val="008B690F"/>
    <w:rsid w:val="008D62C6"/>
    <w:rsid w:val="008D6360"/>
    <w:rsid w:val="008D78AA"/>
    <w:rsid w:val="008E3488"/>
    <w:rsid w:val="008E4E73"/>
    <w:rsid w:val="0091203C"/>
    <w:rsid w:val="00934A62"/>
    <w:rsid w:val="009459B3"/>
    <w:rsid w:val="00947075"/>
    <w:rsid w:val="0096061A"/>
    <w:rsid w:val="0096681A"/>
    <w:rsid w:val="00970C8B"/>
    <w:rsid w:val="00971EFA"/>
    <w:rsid w:val="0099125D"/>
    <w:rsid w:val="00992155"/>
    <w:rsid w:val="009A4116"/>
    <w:rsid w:val="009B4D8E"/>
    <w:rsid w:val="009D36D4"/>
    <w:rsid w:val="009D7615"/>
    <w:rsid w:val="00A20D13"/>
    <w:rsid w:val="00A339B3"/>
    <w:rsid w:val="00A53379"/>
    <w:rsid w:val="00A54D00"/>
    <w:rsid w:val="00A6536E"/>
    <w:rsid w:val="00A74A27"/>
    <w:rsid w:val="00A8614F"/>
    <w:rsid w:val="00A9371F"/>
    <w:rsid w:val="00AA0953"/>
    <w:rsid w:val="00AA4746"/>
    <w:rsid w:val="00B01087"/>
    <w:rsid w:val="00B1782C"/>
    <w:rsid w:val="00B27F33"/>
    <w:rsid w:val="00B42BE9"/>
    <w:rsid w:val="00B62257"/>
    <w:rsid w:val="00B86130"/>
    <w:rsid w:val="00B9234D"/>
    <w:rsid w:val="00BB4F74"/>
    <w:rsid w:val="00BE77F1"/>
    <w:rsid w:val="00BF2DA9"/>
    <w:rsid w:val="00C2439C"/>
    <w:rsid w:val="00C33B97"/>
    <w:rsid w:val="00C43A22"/>
    <w:rsid w:val="00C5333E"/>
    <w:rsid w:val="00C570EE"/>
    <w:rsid w:val="00C81EBF"/>
    <w:rsid w:val="00CB5970"/>
    <w:rsid w:val="00CC0EF7"/>
    <w:rsid w:val="00CC1DAB"/>
    <w:rsid w:val="00CE192C"/>
    <w:rsid w:val="00CE6F0F"/>
    <w:rsid w:val="00D15A36"/>
    <w:rsid w:val="00D267D7"/>
    <w:rsid w:val="00D3581A"/>
    <w:rsid w:val="00D376A3"/>
    <w:rsid w:val="00D4014C"/>
    <w:rsid w:val="00D44FF4"/>
    <w:rsid w:val="00D60717"/>
    <w:rsid w:val="00D81F2F"/>
    <w:rsid w:val="00D975D5"/>
    <w:rsid w:val="00DD3F2B"/>
    <w:rsid w:val="00DD6BCA"/>
    <w:rsid w:val="00DE3E9C"/>
    <w:rsid w:val="00DE7132"/>
    <w:rsid w:val="00E52452"/>
    <w:rsid w:val="00E54EF0"/>
    <w:rsid w:val="00E5722A"/>
    <w:rsid w:val="00E60F83"/>
    <w:rsid w:val="00E67B85"/>
    <w:rsid w:val="00E814AE"/>
    <w:rsid w:val="00EA4617"/>
    <w:rsid w:val="00EB57F5"/>
    <w:rsid w:val="00ED3328"/>
    <w:rsid w:val="00EE6092"/>
    <w:rsid w:val="00EF7B2E"/>
    <w:rsid w:val="00F23DFF"/>
    <w:rsid w:val="00F309AF"/>
    <w:rsid w:val="00F80101"/>
    <w:rsid w:val="00F82D49"/>
    <w:rsid w:val="00FB4F11"/>
    <w:rsid w:val="00FC18DB"/>
    <w:rsid w:val="00FC4F89"/>
    <w:rsid w:val="00FE7352"/>
    <w:rsid w:val="00FE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CB93"/>
  <w15:docId w15:val="{E6CF1378-2380-411F-A1F5-BC1FF4F5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7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909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18CF"/>
    <w:pPr>
      <w:ind w:left="720"/>
      <w:contextualSpacing/>
    </w:pPr>
  </w:style>
  <w:style w:type="character" w:styleId="a5">
    <w:name w:val="Hyperlink"/>
    <w:basedOn w:val="a0"/>
    <w:uiPriority w:val="99"/>
    <w:unhideWhenUsed/>
    <w:rsid w:val="00581648"/>
    <w:rPr>
      <w:color w:val="0000FF" w:themeColor="hyperlink"/>
      <w:u w:val="single"/>
    </w:rPr>
  </w:style>
  <w:style w:type="character" w:styleId="a6">
    <w:name w:val="FollowedHyperlink"/>
    <w:basedOn w:val="a0"/>
    <w:uiPriority w:val="99"/>
    <w:semiHidden/>
    <w:unhideWhenUsed/>
    <w:rsid w:val="00502A8E"/>
    <w:rPr>
      <w:color w:val="800080" w:themeColor="followedHyperlink"/>
      <w:u w:val="single"/>
    </w:rPr>
  </w:style>
  <w:style w:type="character" w:customStyle="1" w:styleId="10">
    <w:name w:val="Заголовок 1 Знак"/>
    <w:basedOn w:val="a0"/>
    <w:link w:val="1"/>
    <w:uiPriority w:val="9"/>
    <w:rsid w:val="00290957"/>
    <w:rPr>
      <w:rFonts w:asciiTheme="majorHAnsi" w:eastAsiaTheme="majorEastAsia" w:hAnsiTheme="majorHAnsi" w:cstheme="majorBidi"/>
      <w:b/>
      <w:bCs/>
      <w:color w:val="365F91" w:themeColor="accent1" w:themeShade="BF"/>
      <w:sz w:val="28"/>
      <w:szCs w:val="28"/>
      <w:lang w:eastAsia="ru-RU"/>
    </w:rPr>
  </w:style>
  <w:style w:type="paragraph" w:styleId="a7">
    <w:name w:val="No Spacing"/>
    <w:uiPriority w:val="1"/>
    <w:qFormat/>
    <w:rsid w:val="00E814AE"/>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725226"/>
    <w:rPr>
      <w:rFonts w:ascii="Tahoma" w:hAnsi="Tahoma" w:cs="Tahoma"/>
      <w:sz w:val="16"/>
      <w:szCs w:val="16"/>
    </w:rPr>
  </w:style>
  <w:style w:type="character" w:customStyle="1" w:styleId="a9">
    <w:name w:val="Текст выноски Знак"/>
    <w:basedOn w:val="a0"/>
    <w:link w:val="a8"/>
    <w:uiPriority w:val="99"/>
    <w:semiHidden/>
    <w:rsid w:val="007252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6138">
      <w:bodyDiv w:val="1"/>
      <w:marLeft w:val="0"/>
      <w:marRight w:val="0"/>
      <w:marTop w:val="0"/>
      <w:marBottom w:val="0"/>
      <w:divBdr>
        <w:top w:val="none" w:sz="0" w:space="0" w:color="auto"/>
        <w:left w:val="none" w:sz="0" w:space="0" w:color="auto"/>
        <w:bottom w:val="none" w:sz="0" w:space="0" w:color="auto"/>
        <w:right w:val="none" w:sz="0" w:space="0" w:color="auto"/>
      </w:divBdr>
    </w:div>
    <w:div w:id="362362236">
      <w:bodyDiv w:val="1"/>
      <w:marLeft w:val="0"/>
      <w:marRight w:val="0"/>
      <w:marTop w:val="0"/>
      <w:marBottom w:val="0"/>
      <w:divBdr>
        <w:top w:val="none" w:sz="0" w:space="0" w:color="auto"/>
        <w:left w:val="none" w:sz="0" w:space="0" w:color="auto"/>
        <w:bottom w:val="none" w:sz="0" w:space="0" w:color="auto"/>
        <w:right w:val="none" w:sz="0" w:space="0" w:color="auto"/>
      </w:divBdr>
      <w:divsChild>
        <w:div w:id="850073662">
          <w:marLeft w:val="0"/>
          <w:marRight w:val="0"/>
          <w:marTop w:val="0"/>
          <w:marBottom w:val="0"/>
          <w:divBdr>
            <w:top w:val="none" w:sz="0" w:space="0" w:color="auto"/>
            <w:left w:val="none" w:sz="0" w:space="0" w:color="auto"/>
            <w:bottom w:val="none" w:sz="0" w:space="0" w:color="auto"/>
            <w:right w:val="none" w:sz="0" w:space="0" w:color="auto"/>
          </w:divBdr>
        </w:div>
      </w:divsChild>
    </w:div>
    <w:div w:id="740567372">
      <w:bodyDiv w:val="1"/>
      <w:marLeft w:val="0"/>
      <w:marRight w:val="0"/>
      <w:marTop w:val="0"/>
      <w:marBottom w:val="0"/>
      <w:divBdr>
        <w:top w:val="none" w:sz="0" w:space="0" w:color="auto"/>
        <w:left w:val="none" w:sz="0" w:space="0" w:color="auto"/>
        <w:bottom w:val="none" w:sz="0" w:space="0" w:color="auto"/>
        <w:right w:val="none" w:sz="0" w:space="0" w:color="auto"/>
      </w:divBdr>
    </w:div>
    <w:div w:id="949777172">
      <w:bodyDiv w:val="1"/>
      <w:marLeft w:val="0"/>
      <w:marRight w:val="0"/>
      <w:marTop w:val="0"/>
      <w:marBottom w:val="0"/>
      <w:divBdr>
        <w:top w:val="none" w:sz="0" w:space="0" w:color="auto"/>
        <w:left w:val="none" w:sz="0" w:space="0" w:color="auto"/>
        <w:bottom w:val="none" w:sz="0" w:space="0" w:color="auto"/>
        <w:right w:val="none" w:sz="0" w:space="0" w:color="auto"/>
      </w:divBdr>
    </w:div>
    <w:div w:id="1780563467">
      <w:bodyDiv w:val="1"/>
      <w:marLeft w:val="0"/>
      <w:marRight w:val="0"/>
      <w:marTop w:val="0"/>
      <w:marBottom w:val="0"/>
      <w:divBdr>
        <w:top w:val="none" w:sz="0" w:space="0" w:color="auto"/>
        <w:left w:val="none" w:sz="0" w:space="0" w:color="auto"/>
        <w:bottom w:val="none" w:sz="0" w:space="0" w:color="auto"/>
        <w:right w:val="none" w:sz="0" w:space="0" w:color="auto"/>
      </w:divBdr>
    </w:div>
    <w:div w:id="200031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CF948-9281-477F-B662-752EFE3E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П. Смолянская</dc:creator>
  <cp:lastModifiedBy>Всеволод Федораев</cp:lastModifiedBy>
  <cp:revision>2</cp:revision>
  <cp:lastPrinted>2022-10-28T02:13:00Z</cp:lastPrinted>
  <dcterms:created xsi:type="dcterms:W3CDTF">2023-01-12T11:32:00Z</dcterms:created>
  <dcterms:modified xsi:type="dcterms:W3CDTF">2023-01-12T11:32:00Z</dcterms:modified>
</cp:coreProperties>
</file>